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3C0" w:rsidRDefault="00F433C0">
      <w:pPr>
        <w:rPr>
          <w:b/>
        </w:rPr>
      </w:pPr>
      <w:r>
        <w:rPr>
          <w:noProof/>
        </w:rPr>
        <w:drawing>
          <wp:inline distT="0" distB="0" distL="0" distR="0" wp14:anchorId="25FEA69A" wp14:editId="354A1E7D">
            <wp:extent cx="1704975" cy="732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logo.gif"/>
                    <pic:cNvPicPr/>
                  </pic:nvPicPr>
                  <pic:blipFill>
                    <a:blip r:embed="rId6">
                      <a:extLst>
                        <a:ext uri="{28A0092B-C50C-407E-A947-70E740481C1C}">
                          <a14:useLocalDpi xmlns:a14="http://schemas.microsoft.com/office/drawing/2010/main" val="0"/>
                        </a:ext>
                      </a:extLst>
                    </a:blip>
                    <a:stretch>
                      <a:fillRect/>
                    </a:stretch>
                  </pic:blipFill>
                  <pic:spPr>
                    <a:xfrm>
                      <a:off x="0" y="0"/>
                      <a:ext cx="1704975" cy="732776"/>
                    </a:xfrm>
                    <a:prstGeom prst="rect">
                      <a:avLst/>
                    </a:prstGeom>
                  </pic:spPr>
                </pic:pic>
              </a:graphicData>
            </a:graphic>
          </wp:inline>
        </w:drawing>
      </w:r>
    </w:p>
    <w:p w:rsidR="00CB5980" w:rsidRDefault="00CB5980" w:rsidP="00CB5980">
      <w:pPr>
        <w:rPr>
          <w:b/>
          <w:sz w:val="28"/>
        </w:rPr>
      </w:pPr>
      <w:r w:rsidRPr="00F433C0">
        <w:rPr>
          <w:b/>
          <w:sz w:val="28"/>
        </w:rPr>
        <w:t>Care Transitions Coordinator Coalition</w:t>
      </w:r>
      <w:r>
        <w:rPr>
          <w:b/>
          <w:sz w:val="28"/>
        </w:rPr>
        <w:t xml:space="preserve"> </w:t>
      </w:r>
    </w:p>
    <w:p w:rsidR="00CB5980" w:rsidRPr="00CB5980" w:rsidRDefault="00AD50B2">
      <w:pPr>
        <w:rPr>
          <w:b/>
          <w:sz w:val="16"/>
          <w:szCs w:val="16"/>
        </w:rPr>
      </w:pPr>
      <w:r>
        <w:rPr>
          <w:b/>
          <w:sz w:val="28"/>
        </w:rPr>
        <w:t>March 2017</w:t>
      </w:r>
      <w:r w:rsidR="00A20725">
        <w:rPr>
          <w:b/>
          <w:sz w:val="28"/>
        </w:rPr>
        <w:t xml:space="preserve"> </w:t>
      </w:r>
    </w:p>
    <w:p w:rsidR="00AD50B2" w:rsidRDefault="00AD50B2" w:rsidP="00AD50B2">
      <w:pPr>
        <w:spacing w:after="0" w:line="240" w:lineRule="auto"/>
        <w:rPr>
          <w:b/>
          <w:color w:val="000099"/>
          <w:sz w:val="28"/>
        </w:rPr>
      </w:pPr>
    </w:p>
    <w:p w:rsidR="00AD50B2" w:rsidRPr="00AD50B2" w:rsidRDefault="00AD50B2" w:rsidP="00AD50B2">
      <w:pPr>
        <w:spacing w:after="0" w:line="240" w:lineRule="auto"/>
        <w:rPr>
          <w:b/>
          <w:color w:val="000099"/>
          <w:sz w:val="28"/>
        </w:rPr>
      </w:pPr>
      <w:r w:rsidRPr="00AD50B2">
        <w:rPr>
          <w:b/>
          <w:color w:val="000099"/>
          <w:sz w:val="28"/>
        </w:rPr>
        <w:t xml:space="preserve">Preadmission Screening and Resident Review (PASRR) </w:t>
      </w:r>
    </w:p>
    <w:p w:rsidR="00A60C09" w:rsidRDefault="00A60C09">
      <w:pPr>
        <w:rPr>
          <w:b/>
          <w:color w:val="000099"/>
          <w:sz w:val="28"/>
        </w:rPr>
      </w:pPr>
    </w:p>
    <w:p w:rsidR="00AD50B2" w:rsidRDefault="00AD50B2" w:rsidP="00AD50B2">
      <w:pPr>
        <w:spacing w:after="0" w:line="240" w:lineRule="auto"/>
        <w:rPr>
          <w:b/>
        </w:rPr>
      </w:pPr>
      <w:r>
        <w:rPr>
          <w:b/>
        </w:rPr>
        <w:t>Guest Presenters:</w:t>
      </w:r>
    </w:p>
    <w:p w:rsidR="00AD50B2" w:rsidRPr="00AD50B2" w:rsidRDefault="00AD50B2" w:rsidP="00AD50B2">
      <w:pPr>
        <w:pStyle w:val="ListParagraph"/>
        <w:numPr>
          <w:ilvl w:val="0"/>
          <w:numId w:val="10"/>
        </w:numPr>
        <w:spacing w:after="0" w:line="240" w:lineRule="auto"/>
        <w:rPr>
          <w:b/>
        </w:rPr>
      </w:pPr>
      <w:r w:rsidRPr="00AD50B2">
        <w:rPr>
          <w:b/>
        </w:rPr>
        <w:t xml:space="preserve">Kristeena Ashby, Assistant Deputy of Clinical Operations, </w:t>
      </w:r>
      <w:proofErr w:type="spellStart"/>
      <w:r w:rsidRPr="00AD50B2">
        <w:rPr>
          <w:b/>
        </w:rPr>
        <w:t>TennCare</w:t>
      </w:r>
      <w:proofErr w:type="spellEnd"/>
      <w:r w:rsidRPr="00AD50B2">
        <w:rPr>
          <w:b/>
        </w:rPr>
        <w:t>, Long Term Care Support Services</w:t>
      </w:r>
    </w:p>
    <w:p w:rsidR="00AD50B2" w:rsidRPr="00AD50B2" w:rsidRDefault="00AD50B2" w:rsidP="00AD50B2">
      <w:pPr>
        <w:pStyle w:val="ListParagraph"/>
        <w:numPr>
          <w:ilvl w:val="0"/>
          <w:numId w:val="10"/>
        </w:numPr>
        <w:spacing w:after="0" w:line="240" w:lineRule="auto"/>
        <w:rPr>
          <w:b/>
        </w:rPr>
      </w:pPr>
      <w:r w:rsidRPr="00AD50B2">
        <w:rPr>
          <w:b/>
        </w:rPr>
        <w:t>Mike Dietrich, Vice President, Tennessee Hospital Association</w:t>
      </w:r>
    </w:p>
    <w:p w:rsidR="00AD50B2" w:rsidRDefault="00AD50B2" w:rsidP="00AD50B2">
      <w:pPr>
        <w:spacing w:after="0" w:line="240" w:lineRule="auto"/>
      </w:pPr>
    </w:p>
    <w:p w:rsidR="00AD50B2" w:rsidRDefault="00AD50B2" w:rsidP="00AD50B2">
      <w:pPr>
        <w:spacing w:after="0" w:line="240" w:lineRule="auto"/>
      </w:pPr>
      <w:r>
        <w:t xml:space="preserve">Kristeena and Mike presented some information about PASRR and then led a discussion with the meeting attendees. Key points from that discussion included: </w:t>
      </w:r>
    </w:p>
    <w:p w:rsidR="00AD50B2" w:rsidRDefault="00AD50B2" w:rsidP="00AD50B2">
      <w:pPr>
        <w:spacing w:after="0" w:line="240" w:lineRule="auto"/>
      </w:pPr>
    </w:p>
    <w:p w:rsidR="00AD50B2" w:rsidRDefault="00AD50B2" w:rsidP="00AD50B2">
      <w:pPr>
        <w:pStyle w:val="ListParagraph"/>
        <w:numPr>
          <w:ilvl w:val="0"/>
          <w:numId w:val="7"/>
        </w:numPr>
        <w:spacing w:after="0" w:line="240" w:lineRule="auto"/>
      </w:pPr>
      <w:r>
        <w:t>83% of all Level I PASRR screens are now being submitted by hospitals. Significant increase since the new program roll-out on 12/1/16.</w:t>
      </w:r>
    </w:p>
    <w:p w:rsidR="00AD50B2" w:rsidRPr="00AD50B2" w:rsidRDefault="00AD50B2" w:rsidP="00AD50B2">
      <w:pPr>
        <w:pStyle w:val="ListParagraph"/>
        <w:numPr>
          <w:ilvl w:val="0"/>
          <w:numId w:val="8"/>
        </w:numPr>
        <w:spacing w:after="0" w:line="240" w:lineRule="auto"/>
      </w:pPr>
      <w:r w:rsidRPr="00AD50B2">
        <w:t xml:space="preserve">Ascend has 5 full business days to complete Level II determinations from the time the Level 1 submission is verified to be in the system.  This excludes holidays and weekends. </w:t>
      </w:r>
      <w:proofErr w:type="spellStart"/>
      <w:r w:rsidRPr="00AD50B2">
        <w:t>TennCare</w:t>
      </w:r>
      <w:proofErr w:type="spellEnd"/>
      <w:r w:rsidRPr="00AD50B2">
        <w:t xml:space="preserve"> is considering provider concerns and will continue to evaluate additional availability. </w:t>
      </w:r>
    </w:p>
    <w:p w:rsidR="00AD50B2" w:rsidRDefault="00AD50B2" w:rsidP="00AD50B2">
      <w:pPr>
        <w:pStyle w:val="ListParagraph"/>
        <w:numPr>
          <w:ilvl w:val="0"/>
          <w:numId w:val="8"/>
        </w:numPr>
        <w:spacing w:after="0" w:line="240" w:lineRule="auto"/>
      </w:pPr>
      <w:r>
        <w:t xml:space="preserve">Remote PASSR assessments are not permitted. Patients must be seen and assessed in-person. </w:t>
      </w:r>
    </w:p>
    <w:p w:rsidR="00AD50B2" w:rsidRDefault="00AD50B2" w:rsidP="00AD50B2">
      <w:pPr>
        <w:pStyle w:val="ListParagraph"/>
        <w:numPr>
          <w:ilvl w:val="0"/>
          <w:numId w:val="8"/>
        </w:numPr>
        <w:spacing w:after="0" w:line="240" w:lineRule="auto"/>
      </w:pPr>
      <w:r>
        <w:t xml:space="preserve">THA collected PASRR information from hospitals in January and shared it with </w:t>
      </w:r>
      <w:proofErr w:type="spellStart"/>
      <w:r>
        <w:t>TennCare</w:t>
      </w:r>
      <w:proofErr w:type="spellEnd"/>
      <w:r>
        <w:t xml:space="preserve"> and Ascend (the PASRR contractor).  THA, </w:t>
      </w:r>
      <w:proofErr w:type="spellStart"/>
      <w:r>
        <w:t>TennCare</w:t>
      </w:r>
      <w:proofErr w:type="spellEnd"/>
      <w:r>
        <w:t xml:space="preserve"> and Ascend will meet quarterly to review subsequent data and information. </w:t>
      </w:r>
      <w:proofErr w:type="spellStart"/>
      <w:r>
        <w:t>TennCare</w:t>
      </w:r>
      <w:proofErr w:type="spellEnd"/>
      <w:r>
        <w:t xml:space="preserve"> is addressing these recommendations:</w:t>
      </w:r>
    </w:p>
    <w:p w:rsidR="00AD50B2" w:rsidRDefault="00AD50B2" w:rsidP="00AD50B2">
      <w:pPr>
        <w:pStyle w:val="ListParagraph"/>
        <w:numPr>
          <w:ilvl w:val="1"/>
          <w:numId w:val="8"/>
        </w:numPr>
        <w:spacing w:after="0" w:line="240" w:lineRule="auto"/>
      </w:pPr>
      <w:r>
        <w:t xml:space="preserve">Level I and Level II determinations completed in less time </w:t>
      </w:r>
    </w:p>
    <w:p w:rsidR="00AD50B2" w:rsidRDefault="00AD50B2" w:rsidP="00AD50B2">
      <w:pPr>
        <w:pStyle w:val="ListParagraph"/>
        <w:numPr>
          <w:ilvl w:val="1"/>
          <w:numId w:val="8"/>
        </w:numPr>
        <w:spacing w:after="0" w:line="240" w:lineRule="auto"/>
      </w:pPr>
      <w:r>
        <w:t xml:space="preserve">Provide a way to edit an assessment if a mistake is made once it is submitted </w:t>
      </w:r>
    </w:p>
    <w:p w:rsidR="00AD50B2" w:rsidRDefault="00AD50B2" w:rsidP="00AD50B2">
      <w:pPr>
        <w:pStyle w:val="ListParagraph"/>
        <w:numPr>
          <w:ilvl w:val="1"/>
          <w:numId w:val="8"/>
        </w:numPr>
        <w:spacing w:after="0" w:line="240" w:lineRule="auto"/>
      </w:pPr>
      <w:r>
        <w:t>Auto-populate patient’s name and physician’s name to avoid inputting several times</w:t>
      </w:r>
    </w:p>
    <w:p w:rsidR="00AD50B2" w:rsidRDefault="00AD50B2" w:rsidP="00AD50B2">
      <w:pPr>
        <w:pStyle w:val="ListParagraph"/>
        <w:numPr>
          <w:ilvl w:val="1"/>
          <w:numId w:val="8"/>
        </w:numPr>
        <w:spacing w:after="0" w:line="240" w:lineRule="auto"/>
      </w:pPr>
      <w:r>
        <w:t xml:space="preserve">Option to click on the submitted PASRR and leave a note for the reviewer </w:t>
      </w:r>
    </w:p>
    <w:p w:rsidR="00AD50B2" w:rsidRDefault="00AD50B2" w:rsidP="00AD50B2">
      <w:pPr>
        <w:pStyle w:val="ListParagraph"/>
        <w:numPr>
          <w:ilvl w:val="1"/>
          <w:numId w:val="8"/>
        </w:numPr>
        <w:spacing w:after="0" w:line="240" w:lineRule="auto"/>
      </w:pPr>
      <w:r>
        <w:t>Ability to run reports from the Ascend site to determine how many PASRR’s were submitted and by whom to assist with staffing assignments (in progress)</w:t>
      </w:r>
    </w:p>
    <w:p w:rsidR="00AD50B2" w:rsidRDefault="00AD50B2" w:rsidP="00AD50B2">
      <w:pPr>
        <w:pStyle w:val="ListParagraph"/>
        <w:numPr>
          <w:ilvl w:val="1"/>
          <w:numId w:val="8"/>
        </w:numPr>
        <w:spacing w:after="0" w:line="240" w:lineRule="auto"/>
      </w:pPr>
      <w:r>
        <w:t xml:space="preserve">Additional training and educational opportunities (in progress) </w:t>
      </w:r>
    </w:p>
    <w:p w:rsidR="00AD50B2" w:rsidRDefault="00AD50B2" w:rsidP="00AD50B2">
      <w:pPr>
        <w:pStyle w:val="ListParagraph"/>
        <w:numPr>
          <w:ilvl w:val="0"/>
          <w:numId w:val="8"/>
        </w:numPr>
        <w:spacing w:after="0" w:line="240" w:lineRule="auto"/>
      </w:pPr>
      <w:r>
        <w:t xml:space="preserve">Questions raised on the Level I PASRR form were answered and will be included in the PASRR FAQs on the </w:t>
      </w:r>
      <w:proofErr w:type="spellStart"/>
      <w:r>
        <w:t>TennCare</w:t>
      </w:r>
      <w:proofErr w:type="spellEnd"/>
      <w:r>
        <w:t xml:space="preserve"> website.  These included the following;</w:t>
      </w:r>
    </w:p>
    <w:p w:rsidR="00AD50B2" w:rsidRDefault="00AD50B2" w:rsidP="00AD50B2">
      <w:pPr>
        <w:pStyle w:val="ListParagraph"/>
        <w:numPr>
          <w:ilvl w:val="1"/>
          <w:numId w:val="8"/>
        </w:numPr>
        <w:spacing w:after="0" w:line="240" w:lineRule="auto"/>
      </w:pPr>
      <w:r>
        <w:t>Patient phone number is a required field. If the patient doesn’t have a phone number, you can enter the hospital’s number.</w:t>
      </w:r>
    </w:p>
    <w:p w:rsidR="00AD50B2" w:rsidRDefault="00AD50B2" w:rsidP="00AD50B2">
      <w:pPr>
        <w:pStyle w:val="ListParagraph"/>
        <w:numPr>
          <w:ilvl w:val="1"/>
          <w:numId w:val="8"/>
        </w:numPr>
        <w:spacing w:after="0" w:line="240" w:lineRule="auto"/>
      </w:pPr>
      <w:r>
        <w:t>If the patient has commercial insurance, choose “Private Pay” as the method of payment.</w:t>
      </w:r>
    </w:p>
    <w:p w:rsidR="00AD50B2" w:rsidRDefault="00AD50B2" w:rsidP="00AD50B2">
      <w:pPr>
        <w:pStyle w:val="ListParagraph"/>
        <w:numPr>
          <w:ilvl w:val="1"/>
          <w:numId w:val="8"/>
        </w:numPr>
        <w:spacing w:after="0" w:line="240" w:lineRule="auto"/>
      </w:pPr>
      <w:r>
        <w:t>Dementia/Neurocognitive does not include stroke, traumatic brain injury, or Parkinson’s.  It means dementia only.</w:t>
      </w:r>
    </w:p>
    <w:p w:rsidR="00AD50B2" w:rsidRDefault="00AD50B2" w:rsidP="00AD50B2">
      <w:pPr>
        <w:pStyle w:val="ListParagraph"/>
        <w:numPr>
          <w:ilvl w:val="1"/>
          <w:numId w:val="8"/>
        </w:numPr>
        <w:spacing w:after="0" w:line="240" w:lineRule="auto"/>
      </w:pPr>
      <w:r>
        <w:t>Patient symptoms must be stable to allow for categorical exemption.</w:t>
      </w:r>
    </w:p>
    <w:p w:rsidR="00AD50B2" w:rsidRDefault="00AD50B2" w:rsidP="00AD50B2">
      <w:pPr>
        <w:pStyle w:val="ListParagraph"/>
        <w:numPr>
          <w:ilvl w:val="1"/>
          <w:numId w:val="8"/>
        </w:numPr>
        <w:spacing w:after="0" w:line="240" w:lineRule="auto"/>
      </w:pPr>
      <w:r>
        <w:t>If medication taken more than once a day, report the accumulated dose for the day.</w:t>
      </w:r>
    </w:p>
    <w:p w:rsidR="00AD50B2" w:rsidRDefault="00AD50B2" w:rsidP="00AD50B2">
      <w:pPr>
        <w:pStyle w:val="ListParagraph"/>
        <w:numPr>
          <w:ilvl w:val="1"/>
          <w:numId w:val="8"/>
        </w:numPr>
        <w:spacing w:after="0" w:line="240" w:lineRule="auto"/>
      </w:pPr>
      <w:r>
        <w:t>Regarding hospital convalescence, select yes if you know your patient will be in a NF no longer than 30-60 days, and select no if you don’t know or if you know your patient will be in the NF 61+ days</w:t>
      </w:r>
    </w:p>
    <w:p w:rsidR="00AD50B2" w:rsidRDefault="00AD50B2" w:rsidP="00AD50B2">
      <w:pPr>
        <w:pStyle w:val="ListParagraph"/>
        <w:numPr>
          <w:ilvl w:val="1"/>
          <w:numId w:val="8"/>
        </w:numPr>
        <w:spacing w:after="0" w:line="240" w:lineRule="auto"/>
      </w:pPr>
      <w:r>
        <w:t>PASRR respite means only 30 days in the nursing facility (NF)</w:t>
      </w:r>
    </w:p>
    <w:p w:rsidR="00AD50B2" w:rsidRDefault="00AD50B2" w:rsidP="00AD50B2">
      <w:pPr>
        <w:pStyle w:val="ListParagraph"/>
        <w:numPr>
          <w:ilvl w:val="1"/>
          <w:numId w:val="8"/>
        </w:numPr>
        <w:spacing w:after="0" w:line="240" w:lineRule="auto"/>
      </w:pPr>
      <w:r>
        <w:t>Enter psych medications only when they are being used for a mental illness.  When being used for other reasons, enter the name of the medication in the comment box at the end of the form along with the reason for its use.</w:t>
      </w:r>
    </w:p>
    <w:p w:rsidR="00AD50B2" w:rsidRDefault="00AD50B2" w:rsidP="00AD50B2">
      <w:pPr>
        <w:spacing w:after="0" w:line="240" w:lineRule="auto"/>
      </w:pPr>
    </w:p>
    <w:p w:rsidR="00AD50B2" w:rsidRDefault="00AD50B2" w:rsidP="00AD50B2">
      <w:pPr>
        <w:spacing w:after="0" w:line="240" w:lineRule="auto"/>
      </w:pPr>
      <w:r>
        <w:t>Next Steps:</w:t>
      </w:r>
    </w:p>
    <w:p w:rsidR="00AD50B2" w:rsidRDefault="00AD50B2" w:rsidP="00AD50B2">
      <w:pPr>
        <w:pStyle w:val="ListParagraph"/>
        <w:numPr>
          <w:ilvl w:val="0"/>
          <w:numId w:val="7"/>
        </w:numPr>
        <w:spacing w:after="0" w:line="240" w:lineRule="auto"/>
      </w:pPr>
      <w:r>
        <w:t>Need additional education on how to answer the questions on both Level I and Level II.</w:t>
      </w:r>
    </w:p>
    <w:p w:rsidR="00AD50B2" w:rsidRDefault="00AD50B2" w:rsidP="00AD50B2">
      <w:pPr>
        <w:pStyle w:val="ListParagraph"/>
        <w:numPr>
          <w:ilvl w:val="0"/>
          <w:numId w:val="7"/>
        </w:numPr>
        <w:spacing w:after="0" w:line="240" w:lineRule="auto"/>
      </w:pPr>
      <w:r>
        <w:t xml:space="preserve">If you have a patients waiting for Level II determinations beyond 5 full business days, please contact Kristeena Ashby at </w:t>
      </w:r>
      <w:proofErr w:type="spellStart"/>
      <w:r>
        <w:t>TennCare</w:t>
      </w:r>
      <w:proofErr w:type="spellEnd"/>
      <w:r>
        <w:t xml:space="preserve"> with either the patient’s Ascend number or an identifier for the patient</w:t>
      </w:r>
    </w:p>
    <w:p w:rsidR="00AD50B2" w:rsidRPr="00AD50B2" w:rsidRDefault="00AD50B2" w:rsidP="00AD50B2">
      <w:pPr>
        <w:pStyle w:val="ListParagraph"/>
        <w:numPr>
          <w:ilvl w:val="0"/>
          <w:numId w:val="7"/>
        </w:numPr>
        <w:spacing w:after="0" w:line="240" w:lineRule="auto"/>
        <w:rPr>
          <w:b/>
        </w:rPr>
      </w:pPr>
      <w:r w:rsidRPr="00AD50B2">
        <w:rPr>
          <w:i/>
        </w:rPr>
        <w:t xml:space="preserve">THA will be sending out another PASRR survey in April 2017 – please be sure to fill out this survey so THA may report the results back to </w:t>
      </w:r>
      <w:proofErr w:type="spellStart"/>
      <w:r w:rsidRPr="00AD50B2">
        <w:rPr>
          <w:i/>
        </w:rPr>
        <w:t>TennCare</w:t>
      </w:r>
      <w:proofErr w:type="spellEnd"/>
      <w:r w:rsidRPr="00AD50B2">
        <w:rPr>
          <w:i/>
        </w:rPr>
        <w:t xml:space="preserve"> to track improvements and successes</w:t>
      </w:r>
      <w:r>
        <w:rPr>
          <w:i/>
        </w:rPr>
        <w:br/>
      </w:r>
      <w:bookmarkStart w:id="0" w:name="_GoBack"/>
      <w:bookmarkEnd w:id="0"/>
    </w:p>
    <w:p w:rsidR="00AD50B2" w:rsidRDefault="00AD50B2" w:rsidP="00AD50B2">
      <w:pPr>
        <w:spacing w:after="0" w:line="240" w:lineRule="auto"/>
        <w:rPr>
          <w:b/>
        </w:rPr>
      </w:pPr>
      <w:r w:rsidRPr="00F14F17">
        <w:rPr>
          <w:b/>
        </w:rPr>
        <w:t xml:space="preserve">Supplemental Polls in the </w:t>
      </w:r>
      <w:proofErr w:type="spellStart"/>
      <w:r w:rsidRPr="00F14F17">
        <w:rPr>
          <w:b/>
        </w:rPr>
        <w:t>TennCare</w:t>
      </w:r>
      <w:proofErr w:type="spellEnd"/>
      <w:r w:rsidRPr="00F14F17">
        <w:rPr>
          <w:b/>
        </w:rPr>
        <w:t xml:space="preserve"> Waiver </w:t>
      </w:r>
    </w:p>
    <w:p w:rsidR="00AD50B2" w:rsidRPr="00F14F17" w:rsidRDefault="00AD50B2" w:rsidP="00AD50B2">
      <w:pPr>
        <w:spacing w:after="0" w:line="240" w:lineRule="auto"/>
        <w:rPr>
          <w:b/>
        </w:rPr>
      </w:pPr>
    </w:p>
    <w:p w:rsidR="00AD50B2" w:rsidRDefault="00AD50B2" w:rsidP="00AD50B2">
      <w:pPr>
        <w:pStyle w:val="ListParagraph"/>
        <w:numPr>
          <w:ilvl w:val="0"/>
          <w:numId w:val="9"/>
        </w:numPr>
        <w:spacing w:after="0" w:line="240" w:lineRule="auto"/>
      </w:pPr>
      <w:r>
        <w:t xml:space="preserve">There are expected cuts to the UHC ($455M) supplemental pool, and </w:t>
      </w:r>
      <w:proofErr w:type="spellStart"/>
      <w:r>
        <w:t>TennCare</w:t>
      </w:r>
      <w:proofErr w:type="spellEnd"/>
      <w:r>
        <w:t xml:space="preserve"> </w:t>
      </w:r>
      <w:proofErr w:type="gramStart"/>
      <w:r>
        <w:t>is wanting</w:t>
      </w:r>
      <w:proofErr w:type="gramEnd"/>
      <w:r>
        <w:t xml:space="preserve"> to build metrics around how hospitals earn those dollars.  Medicaid directed payment performance requirements for TN hospitals:</w:t>
      </w:r>
    </w:p>
    <w:p w:rsidR="00AD50B2" w:rsidRDefault="00AD50B2" w:rsidP="00AD50B2">
      <w:pPr>
        <w:pStyle w:val="ListParagraph"/>
        <w:numPr>
          <w:ilvl w:val="1"/>
          <w:numId w:val="9"/>
        </w:numPr>
        <w:spacing w:after="0" w:line="240" w:lineRule="auto"/>
      </w:pPr>
      <w:r>
        <w:t xml:space="preserve">Must participate in the </w:t>
      </w:r>
      <w:proofErr w:type="spellStart"/>
      <w:r>
        <w:t>TennCare</w:t>
      </w:r>
      <w:proofErr w:type="spellEnd"/>
      <w:r>
        <w:t xml:space="preserve"> Health Care Innovation Initiative</w:t>
      </w:r>
    </w:p>
    <w:p w:rsidR="00AD50B2" w:rsidRDefault="00AD50B2" w:rsidP="00AD50B2">
      <w:pPr>
        <w:pStyle w:val="ListParagraph"/>
        <w:numPr>
          <w:ilvl w:val="1"/>
          <w:numId w:val="9"/>
        </w:numPr>
        <w:spacing w:after="0" w:line="240" w:lineRule="auto"/>
      </w:pPr>
      <w:r>
        <w:t>Contracted with MCOs to participate in retrospective episodes</w:t>
      </w:r>
    </w:p>
    <w:p w:rsidR="00AD50B2" w:rsidRPr="00542720" w:rsidRDefault="00AD50B2" w:rsidP="00AD50B2">
      <w:pPr>
        <w:pStyle w:val="ListParagraph"/>
        <w:numPr>
          <w:ilvl w:val="1"/>
          <w:numId w:val="9"/>
        </w:numPr>
        <w:spacing w:after="0" w:line="240" w:lineRule="auto"/>
      </w:pPr>
      <w:r>
        <w:rPr>
          <w:i/>
        </w:rPr>
        <w:t>Must be providing ADT feeds to support primary care transformation</w:t>
      </w:r>
    </w:p>
    <w:p w:rsidR="00AD50B2" w:rsidRDefault="00AD50B2" w:rsidP="00AD50B2">
      <w:pPr>
        <w:pStyle w:val="ListParagraph"/>
        <w:numPr>
          <w:ilvl w:val="1"/>
          <w:numId w:val="9"/>
        </w:numPr>
        <w:spacing w:after="0" w:line="240" w:lineRule="auto"/>
      </w:pPr>
      <w:r>
        <w:t xml:space="preserve">Must be contracted with </w:t>
      </w:r>
      <w:proofErr w:type="spellStart"/>
      <w:r>
        <w:t>TennCare</w:t>
      </w:r>
      <w:proofErr w:type="spellEnd"/>
      <w:r>
        <w:t xml:space="preserve"> Select and at least one of the other three MCOs</w:t>
      </w:r>
    </w:p>
    <w:p w:rsidR="00AD50B2" w:rsidRPr="00542720" w:rsidRDefault="00AD50B2" w:rsidP="00AD50B2">
      <w:pPr>
        <w:pStyle w:val="ListParagraph"/>
        <w:numPr>
          <w:ilvl w:val="0"/>
          <w:numId w:val="9"/>
        </w:numPr>
        <w:spacing w:after="0" w:line="240" w:lineRule="auto"/>
      </w:pPr>
      <w:r>
        <w:t xml:space="preserve">Further detail: </w:t>
      </w:r>
      <w:r>
        <w:rPr>
          <w:i/>
        </w:rPr>
        <w:t>Must be providing ADT feeds to support primary care transformation –</w:t>
      </w:r>
      <w:r>
        <w:rPr>
          <w:b/>
          <w:i/>
        </w:rPr>
        <w:t xml:space="preserve"> </w:t>
      </w:r>
      <w:r>
        <w:t xml:space="preserve">There are three (3) </w:t>
      </w:r>
      <w:r w:rsidRPr="00AD7449">
        <w:rPr>
          <w:u w:val="single"/>
        </w:rPr>
        <w:t>cumulative criteria</w:t>
      </w:r>
      <w:r>
        <w:t xml:space="preserve"> to meet this requirement:</w:t>
      </w:r>
    </w:p>
    <w:p w:rsidR="00AD50B2" w:rsidRDefault="00AD50B2" w:rsidP="00AD50B2">
      <w:pPr>
        <w:pStyle w:val="ListParagraph"/>
        <w:numPr>
          <w:ilvl w:val="1"/>
          <w:numId w:val="9"/>
        </w:numPr>
        <w:spacing w:after="0" w:line="240" w:lineRule="auto"/>
      </w:pPr>
      <w:r>
        <w:t>Proposed Criterion #1:</w:t>
      </w:r>
    </w:p>
    <w:p w:rsidR="00AD50B2" w:rsidRDefault="00AD50B2" w:rsidP="00AD50B2">
      <w:pPr>
        <w:pStyle w:val="ListParagraph"/>
        <w:numPr>
          <w:ilvl w:val="2"/>
          <w:numId w:val="9"/>
        </w:numPr>
        <w:spacing w:after="0" w:line="240" w:lineRule="auto"/>
      </w:pPr>
      <w:r>
        <w:t xml:space="preserve">Notification to the MCO within one (1) business day following admission; </w:t>
      </w:r>
    </w:p>
    <w:p w:rsidR="00AD50B2" w:rsidRDefault="00AD50B2" w:rsidP="00AD50B2">
      <w:pPr>
        <w:pStyle w:val="ListParagraph"/>
        <w:numPr>
          <w:ilvl w:val="2"/>
          <w:numId w:val="9"/>
        </w:numPr>
        <w:spacing w:after="0" w:line="240" w:lineRule="auto"/>
      </w:pPr>
      <w:r>
        <w:t>Sharing the proposed discharge plan with the MCO within one (1) business day of the MCO’s request; and</w:t>
      </w:r>
    </w:p>
    <w:p w:rsidR="00AD50B2" w:rsidRDefault="00AD50B2" w:rsidP="00AD50B2">
      <w:pPr>
        <w:pStyle w:val="ListParagraph"/>
        <w:numPr>
          <w:ilvl w:val="2"/>
          <w:numId w:val="9"/>
        </w:numPr>
        <w:spacing w:after="0" w:line="240" w:lineRule="auto"/>
      </w:pPr>
      <w:r>
        <w:t>Documented consideration of any recommendations provided the MCO pertaining to discharge, subject to the availability of an appropriately qualified provider to deliver such services, without delaying the member’s discharge from the hospital.</w:t>
      </w:r>
    </w:p>
    <w:p w:rsidR="00AD50B2" w:rsidRDefault="00AD50B2" w:rsidP="00AD50B2">
      <w:pPr>
        <w:pStyle w:val="ListParagraph"/>
        <w:numPr>
          <w:ilvl w:val="1"/>
          <w:numId w:val="9"/>
        </w:numPr>
        <w:spacing w:after="0" w:line="240" w:lineRule="auto"/>
      </w:pPr>
      <w:r>
        <w:t>Proposed Criterion #2:</w:t>
      </w:r>
    </w:p>
    <w:p w:rsidR="00AD50B2" w:rsidRDefault="00AD50B2" w:rsidP="00AD50B2">
      <w:pPr>
        <w:pStyle w:val="ListParagraph"/>
        <w:numPr>
          <w:ilvl w:val="2"/>
          <w:numId w:val="9"/>
        </w:numPr>
        <w:spacing w:after="0" w:line="240" w:lineRule="auto"/>
      </w:pPr>
      <w:r>
        <w:t xml:space="preserve">Documentation of completion of an informed choice process by hospital staff with the patient, which shall include a review of materials developed by </w:t>
      </w:r>
      <w:proofErr w:type="spellStart"/>
      <w:r>
        <w:t>TennCare</w:t>
      </w:r>
      <w:proofErr w:type="spellEnd"/>
      <w:r>
        <w:t xml:space="preserve"> regarding home and community based service options the patient’s choice of post-discharge services and settings, the recommendations of the treating physician, and any additional considerations which could impact the patient’s ability to receive such services upon discharge.</w:t>
      </w:r>
    </w:p>
    <w:p w:rsidR="00AD50B2" w:rsidRDefault="00AD50B2" w:rsidP="00AD50B2">
      <w:pPr>
        <w:pStyle w:val="ListParagraph"/>
        <w:numPr>
          <w:ilvl w:val="1"/>
          <w:numId w:val="9"/>
        </w:numPr>
        <w:spacing w:after="0" w:line="240" w:lineRule="auto"/>
      </w:pPr>
      <w:r>
        <w:t>Proposed Criterion #3 (already completed):</w:t>
      </w:r>
    </w:p>
    <w:p w:rsidR="00AD50B2" w:rsidRDefault="00AD50B2" w:rsidP="00AD50B2">
      <w:pPr>
        <w:pStyle w:val="ListParagraph"/>
        <w:numPr>
          <w:ilvl w:val="2"/>
          <w:numId w:val="9"/>
        </w:numPr>
        <w:spacing w:after="0" w:line="240" w:lineRule="auto"/>
      </w:pPr>
      <w:r>
        <w:t>The prompt, accurate completion of a Level I PASRR screen by hospital staff prior to discharge of every patient who will admit to the a Medicaid certified nursing facility (including a dual certified skilled nursing facility) upon discharge (preferred); or</w:t>
      </w:r>
    </w:p>
    <w:p w:rsidR="00AD50B2" w:rsidRDefault="00AD50B2" w:rsidP="00AD50B2">
      <w:pPr>
        <w:pStyle w:val="ListParagraph"/>
        <w:numPr>
          <w:ilvl w:val="2"/>
          <w:numId w:val="9"/>
        </w:numPr>
        <w:spacing w:after="0" w:line="240" w:lineRule="auto"/>
      </w:pPr>
      <w:r>
        <w:t xml:space="preserve">The provision of complete and accurate information regarding the patient’s physical and behavioral health needs to the admitting nursing facility by hospital staff </w:t>
      </w:r>
      <w:proofErr w:type="gramStart"/>
      <w:r>
        <w:t>who</w:t>
      </w:r>
      <w:proofErr w:type="gramEnd"/>
      <w:r>
        <w:t xml:space="preserve"> have clinical familiarity with such physical and behavioral health needs in order to facilitate the accurate completion of the Level I PASRR screen by the nursing facility.</w:t>
      </w:r>
    </w:p>
    <w:p w:rsidR="00AD50B2" w:rsidRPr="00CB5980" w:rsidRDefault="00AD50B2">
      <w:pPr>
        <w:rPr>
          <w:b/>
          <w:color w:val="000099"/>
          <w:sz w:val="28"/>
        </w:rPr>
      </w:pPr>
    </w:p>
    <w:sectPr w:rsidR="00AD50B2" w:rsidRPr="00CB5980" w:rsidSect="00AD50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F3BB3"/>
    <w:multiLevelType w:val="hybridMultilevel"/>
    <w:tmpl w:val="E408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22E55"/>
    <w:multiLevelType w:val="hybridMultilevel"/>
    <w:tmpl w:val="5B424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A6699F"/>
    <w:multiLevelType w:val="hybridMultilevel"/>
    <w:tmpl w:val="90CA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E20882"/>
    <w:multiLevelType w:val="hybridMultilevel"/>
    <w:tmpl w:val="0282A6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9B305E4"/>
    <w:multiLevelType w:val="hybridMultilevel"/>
    <w:tmpl w:val="73109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BE4FFB"/>
    <w:multiLevelType w:val="hybridMultilevel"/>
    <w:tmpl w:val="3F8E7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F0AD0"/>
    <w:multiLevelType w:val="hybridMultilevel"/>
    <w:tmpl w:val="1B086FA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53164D01"/>
    <w:multiLevelType w:val="hybridMultilevel"/>
    <w:tmpl w:val="A57E4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F073F8"/>
    <w:multiLevelType w:val="hybridMultilevel"/>
    <w:tmpl w:val="74BA8FE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68944F17"/>
    <w:multiLevelType w:val="hybridMultilevel"/>
    <w:tmpl w:val="BCCE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1"/>
  </w:num>
  <w:num w:numId="5">
    <w:abstractNumId w:val="8"/>
  </w:num>
  <w:num w:numId="6">
    <w:abstractNumId w:val="2"/>
  </w:num>
  <w:num w:numId="7">
    <w:abstractNumId w:val="0"/>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218"/>
    <w:rsid w:val="00023AE1"/>
    <w:rsid w:val="000E46C4"/>
    <w:rsid w:val="00153573"/>
    <w:rsid w:val="00212CB5"/>
    <w:rsid w:val="00280218"/>
    <w:rsid w:val="0058079A"/>
    <w:rsid w:val="005F74A3"/>
    <w:rsid w:val="00604065"/>
    <w:rsid w:val="00644EBE"/>
    <w:rsid w:val="006D3C8E"/>
    <w:rsid w:val="00701649"/>
    <w:rsid w:val="00821044"/>
    <w:rsid w:val="00A20725"/>
    <w:rsid w:val="00A60C09"/>
    <w:rsid w:val="00AD50B2"/>
    <w:rsid w:val="00C8189A"/>
    <w:rsid w:val="00CB5980"/>
    <w:rsid w:val="00CE568E"/>
    <w:rsid w:val="00D53C5C"/>
    <w:rsid w:val="00ED5B57"/>
    <w:rsid w:val="00EE0A41"/>
    <w:rsid w:val="00F33FEE"/>
    <w:rsid w:val="00F43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218"/>
    <w:pPr>
      <w:ind w:left="720"/>
      <w:contextualSpacing/>
    </w:pPr>
  </w:style>
  <w:style w:type="paragraph" w:styleId="BalloonText">
    <w:name w:val="Balloon Text"/>
    <w:basedOn w:val="Normal"/>
    <w:link w:val="BalloonTextChar"/>
    <w:uiPriority w:val="99"/>
    <w:semiHidden/>
    <w:unhideWhenUsed/>
    <w:rsid w:val="00F43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3C0"/>
    <w:rPr>
      <w:rFonts w:ascii="Tahoma" w:hAnsi="Tahoma" w:cs="Tahoma"/>
      <w:sz w:val="16"/>
      <w:szCs w:val="16"/>
    </w:rPr>
  </w:style>
  <w:style w:type="character" w:styleId="Hyperlink">
    <w:name w:val="Hyperlink"/>
    <w:basedOn w:val="DefaultParagraphFont"/>
    <w:uiPriority w:val="99"/>
    <w:unhideWhenUsed/>
    <w:rsid w:val="007016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218"/>
    <w:pPr>
      <w:ind w:left="720"/>
      <w:contextualSpacing/>
    </w:pPr>
  </w:style>
  <w:style w:type="paragraph" w:styleId="BalloonText">
    <w:name w:val="Balloon Text"/>
    <w:basedOn w:val="Normal"/>
    <w:link w:val="BalloonTextChar"/>
    <w:uiPriority w:val="99"/>
    <w:semiHidden/>
    <w:unhideWhenUsed/>
    <w:rsid w:val="00F43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3C0"/>
    <w:rPr>
      <w:rFonts w:ascii="Tahoma" w:hAnsi="Tahoma" w:cs="Tahoma"/>
      <w:sz w:val="16"/>
      <w:szCs w:val="16"/>
    </w:rPr>
  </w:style>
  <w:style w:type="character" w:styleId="Hyperlink">
    <w:name w:val="Hyperlink"/>
    <w:basedOn w:val="DefaultParagraphFont"/>
    <w:uiPriority w:val="99"/>
    <w:unhideWhenUsed/>
    <w:rsid w:val="007016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453795">
      <w:bodyDiv w:val="1"/>
      <w:marLeft w:val="0"/>
      <w:marRight w:val="0"/>
      <w:marTop w:val="0"/>
      <w:marBottom w:val="0"/>
      <w:divBdr>
        <w:top w:val="none" w:sz="0" w:space="0" w:color="auto"/>
        <w:left w:val="none" w:sz="0" w:space="0" w:color="auto"/>
        <w:bottom w:val="none" w:sz="0" w:space="0" w:color="auto"/>
        <w:right w:val="none" w:sz="0" w:space="0" w:color="auto"/>
      </w:divBdr>
      <w:divsChild>
        <w:div w:id="462114939">
          <w:marLeft w:val="0"/>
          <w:marRight w:val="0"/>
          <w:marTop w:val="0"/>
          <w:marBottom w:val="0"/>
          <w:divBdr>
            <w:top w:val="none" w:sz="0" w:space="0" w:color="auto"/>
            <w:left w:val="none" w:sz="0" w:space="0" w:color="auto"/>
            <w:bottom w:val="none" w:sz="0" w:space="0" w:color="auto"/>
            <w:right w:val="none" w:sz="0" w:space="0" w:color="auto"/>
          </w:divBdr>
          <w:divsChild>
            <w:div w:id="2119597242">
              <w:marLeft w:val="0"/>
              <w:marRight w:val="0"/>
              <w:marTop w:val="0"/>
              <w:marBottom w:val="0"/>
              <w:divBdr>
                <w:top w:val="none" w:sz="0" w:space="0" w:color="auto"/>
                <w:left w:val="none" w:sz="0" w:space="0" w:color="auto"/>
                <w:bottom w:val="none" w:sz="0" w:space="0" w:color="auto"/>
                <w:right w:val="none" w:sz="0" w:space="0" w:color="auto"/>
              </w:divBdr>
              <w:divsChild>
                <w:div w:id="279995262">
                  <w:marLeft w:val="0"/>
                  <w:marRight w:val="0"/>
                  <w:marTop w:val="0"/>
                  <w:marBottom w:val="0"/>
                  <w:divBdr>
                    <w:top w:val="none" w:sz="0" w:space="0" w:color="auto"/>
                    <w:left w:val="none" w:sz="0" w:space="0" w:color="auto"/>
                    <w:bottom w:val="none" w:sz="0" w:space="0" w:color="auto"/>
                    <w:right w:val="none" w:sz="0" w:space="0" w:color="auto"/>
                  </w:divBdr>
                  <w:divsChild>
                    <w:div w:id="1536579317">
                      <w:marLeft w:val="0"/>
                      <w:marRight w:val="0"/>
                      <w:marTop w:val="0"/>
                      <w:marBottom w:val="0"/>
                      <w:divBdr>
                        <w:top w:val="none" w:sz="0" w:space="0" w:color="auto"/>
                        <w:left w:val="none" w:sz="0" w:space="0" w:color="auto"/>
                        <w:bottom w:val="none" w:sz="0" w:space="0" w:color="auto"/>
                        <w:right w:val="none" w:sz="0" w:space="0" w:color="auto"/>
                      </w:divBdr>
                      <w:divsChild>
                        <w:div w:id="626162429">
                          <w:marLeft w:val="0"/>
                          <w:marRight w:val="0"/>
                          <w:marTop w:val="0"/>
                          <w:marBottom w:val="0"/>
                          <w:divBdr>
                            <w:top w:val="none" w:sz="0" w:space="0" w:color="auto"/>
                            <w:left w:val="none" w:sz="0" w:space="0" w:color="auto"/>
                            <w:bottom w:val="none" w:sz="0" w:space="0" w:color="auto"/>
                            <w:right w:val="none" w:sz="0" w:space="0" w:color="auto"/>
                          </w:divBdr>
                          <w:divsChild>
                            <w:div w:id="19184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Tennessee Hospital Association</Company>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Dickman</dc:creator>
  <cp:lastModifiedBy>Rhonda Dickman</cp:lastModifiedBy>
  <cp:revision>2</cp:revision>
  <dcterms:created xsi:type="dcterms:W3CDTF">2017-07-24T16:08:00Z</dcterms:created>
  <dcterms:modified xsi:type="dcterms:W3CDTF">2017-07-24T16:08:00Z</dcterms:modified>
</cp:coreProperties>
</file>